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62" w:rsidRPr="00DF2799" w:rsidRDefault="00E64286" w:rsidP="00020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</w:pPr>
      <w:r w:rsidRPr="00DF2799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  <w:t>В</w:t>
      </w:r>
      <w:r w:rsidR="006B1462" w:rsidRPr="00DF2799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  <w:t>ідділ</w:t>
      </w:r>
      <w:r w:rsidRPr="00DF2799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  <w:t xml:space="preserve"> </w:t>
      </w:r>
      <w:r w:rsidR="007C4D59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  <w:lang w:val="uk-UA"/>
        </w:rPr>
        <w:t>паразитології</w:t>
      </w:r>
    </w:p>
    <w:p w:rsidR="006327FB" w:rsidRPr="00782902" w:rsidRDefault="006327FB" w:rsidP="006B1462">
      <w:pPr>
        <w:autoSpaceDE w:val="0"/>
        <w:autoSpaceDN w:val="0"/>
        <w:adjustRightInd w:val="0"/>
        <w:spacing w:after="0" w:line="240" w:lineRule="auto"/>
        <w:rPr>
          <w:rFonts w:ascii="BalticaC-Bold" w:hAnsi="BalticaC-Bold" w:cs="BalticaC-Bold"/>
          <w:b/>
          <w:bCs/>
          <w:sz w:val="21"/>
          <w:szCs w:val="21"/>
          <w:lang w:val="uk-UA"/>
        </w:rPr>
      </w:pPr>
    </w:p>
    <w:p w:rsidR="00573FDC" w:rsidRPr="00782902" w:rsidRDefault="006327FB" w:rsidP="00573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902"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r w:rsidR="007C4D59">
        <w:rPr>
          <w:rFonts w:ascii="Times New Roman" w:hAnsi="Times New Roman" w:cs="Times New Roman"/>
          <w:sz w:val="28"/>
          <w:szCs w:val="28"/>
          <w:lang w:val="uk-UA"/>
        </w:rPr>
        <w:t>паразитології</w:t>
      </w:r>
      <w:r w:rsidRPr="00782902">
        <w:rPr>
          <w:rFonts w:ascii="Times New Roman" w:hAnsi="Times New Roman" w:cs="Times New Roman"/>
          <w:sz w:val="28"/>
          <w:szCs w:val="28"/>
          <w:lang w:val="uk-UA"/>
        </w:rPr>
        <w:t xml:space="preserve"> є структурним підрозд</w:t>
      </w:r>
      <w:r w:rsidR="00573FDC">
        <w:rPr>
          <w:rFonts w:ascii="Times New Roman" w:hAnsi="Times New Roman" w:cs="Times New Roman"/>
          <w:sz w:val="28"/>
          <w:szCs w:val="28"/>
          <w:lang w:val="uk-UA"/>
        </w:rPr>
        <w:t xml:space="preserve">ілом Миколаївської регіональної </w:t>
      </w:r>
      <w:r w:rsidRPr="00782902">
        <w:rPr>
          <w:rFonts w:ascii="Times New Roman" w:hAnsi="Times New Roman" w:cs="Times New Roman"/>
          <w:sz w:val="28"/>
          <w:szCs w:val="28"/>
          <w:lang w:val="uk-UA"/>
        </w:rPr>
        <w:t>державної лабораторії</w:t>
      </w:r>
      <w:r w:rsidR="00573FDC" w:rsidRPr="005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FDC" w:rsidRPr="00782902">
        <w:rPr>
          <w:rFonts w:ascii="Times New Roman" w:hAnsi="Times New Roman" w:cs="Times New Roman"/>
          <w:sz w:val="28"/>
          <w:szCs w:val="28"/>
          <w:lang w:val="uk-UA"/>
        </w:rPr>
        <w:t>ветеринарної медицини.</w:t>
      </w:r>
    </w:p>
    <w:p w:rsidR="006327FB" w:rsidRPr="00782902" w:rsidRDefault="006327FB" w:rsidP="00573F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3FDC" w:rsidRDefault="00B200F0" w:rsidP="006327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alticaC-Bold" w:hAnsi="BalticaC-Bold" w:cs="BalticaC-Bold"/>
          <w:bCs/>
          <w:sz w:val="24"/>
          <w:szCs w:val="24"/>
          <w:lang w:val="uk-UA"/>
        </w:rPr>
      </w:pPr>
      <w:r w:rsidRPr="00573FDC">
        <w:rPr>
          <w:rFonts w:ascii="BalticaC-Bold" w:hAnsi="BalticaC-Bold" w:cs="BalticaC-Bold"/>
          <w:bCs/>
          <w:sz w:val="24"/>
          <w:szCs w:val="24"/>
          <w:lang w:val="uk-UA"/>
        </w:rPr>
        <w:t xml:space="preserve">Формування відділу має важливе значення по недопущенню зараження людей паразитарними хворобами, спільними для людей і тварин. </w:t>
      </w:r>
    </w:p>
    <w:p w:rsidR="006327FB" w:rsidRPr="00573FDC" w:rsidRDefault="00B200F0" w:rsidP="006327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alticaC-Bold" w:hAnsi="BalticaC-Bold" w:cs="BalticaC-Bold"/>
          <w:bCs/>
          <w:sz w:val="24"/>
          <w:szCs w:val="24"/>
          <w:lang w:val="uk-UA"/>
        </w:rPr>
      </w:pPr>
      <w:r w:rsidRPr="00573FDC">
        <w:rPr>
          <w:rFonts w:ascii="BalticaC-Bold" w:hAnsi="BalticaC-Bold" w:cs="BalticaC-Bold"/>
          <w:bCs/>
          <w:sz w:val="24"/>
          <w:szCs w:val="24"/>
          <w:lang w:val="uk-UA"/>
        </w:rPr>
        <w:t>Відділ сформовано у 1991році.</w:t>
      </w:r>
    </w:p>
    <w:p w:rsidR="0025357D" w:rsidRPr="00B200F0" w:rsidRDefault="006327FB" w:rsidP="002535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00F0">
        <w:rPr>
          <w:rFonts w:ascii="Times New Roman" w:hAnsi="Times New Roman" w:cs="Times New Roman"/>
          <w:sz w:val="28"/>
          <w:szCs w:val="28"/>
        </w:rPr>
        <w:t xml:space="preserve">У </w:t>
      </w:r>
      <w:r w:rsidR="00B200F0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Pr="00B200F0">
        <w:rPr>
          <w:rFonts w:ascii="Times New Roman" w:hAnsi="Times New Roman" w:cs="Times New Roman"/>
          <w:sz w:val="28"/>
          <w:szCs w:val="28"/>
        </w:rPr>
        <w:t xml:space="preserve"> році відділ акредитований у відповідності до</w:t>
      </w:r>
    </w:p>
    <w:p w:rsidR="006327FB" w:rsidRPr="00B200F0" w:rsidRDefault="006327FB" w:rsidP="0025357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00F0">
        <w:rPr>
          <w:rFonts w:ascii="Times New Roman" w:hAnsi="Times New Roman" w:cs="Times New Roman"/>
          <w:sz w:val="28"/>
          <w:szCs w:val="28"/>
          <w:lang w:val="uk-UA"/>
        </w:rPr>
        <w:t xml:space="preserve">ДСТУ </w:t>
      </w:r>
      <w:r w:rsidRPr="00B200F0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B200F0">
        <w:rPr>
          <w:rFonts w:ascii="Times New Roman" w:hAnsi="Times New Roman" w:cs="Times New Roman"/>
          <w:sz w:val="28"/>
          <w:szCs w:val="28"/>
          <w:lang w:val="uk-UA"/>
        </w:rPr>
        <w:t>/ІЕС 17025:2006.</w:t>
      </w:r>
    </w:p>
    <w:p w:rsidR="0025357D" w:rsidRDefault="006327FB" w:rsidP="00020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B200F0">
        <w:rPr>
          <w:rFonts w:ascii="Times New Roman" w:hAnsi="Times New Roman" w:cs="Times New Roman"/>
          <w:sz w:val="36"/>
          <w:szCs w:val="36"/>
          <w:lang w:val="uk-UA"/>
        </w:rPr>
        <w:t xml:space="preserve">Згідно акредитації відділ  </w:t>
      </w:r>
      <w:r w:rsidR="00B200F0">
        <w:rPr>
          <w:rFonts w:ascii="Times New Roman" w:hAnsi="Times New Roman" w:cs="Times New Roman"/>
          <w:sz w:val="36"/>
          <w:szCs w:val="36"/>
          <w:lang w:val="uk-UA"/>
        </w:rPr>
        <w:t>паразитології поводить</w:t>
      </w:r>
      <w:r w:rsidRPr="00B200F0">
        <w:rPr>
          <w:rFonts w:ascii="Times New Roman" w:hAnsi="Times New Roman" w:cs="Times New Roman"/>
          <w:sz w:val="36"/>
          <w:szCs w:val="36"/>
          <w:lang w:val="uk-UA"/>
        </w:rPr>
        <w:t xml:space="preserve">  такі </w:t>
      </w:r>
      <w:r w:rsidR="00B200F0">
        <w:rPr>
          <w:rFonts w:ascii="Times New Roman" w:hAnsi="Times New Roman" w:cs="Times New Roman"/>
          <w:sz w:val="36"/>
          <w:szCs w:val="36"/>
          <w:lang w:val="uk-UA"/>
        </w:rPr>
        <w:t>дослідження</w:t>
      </w:r>
      <w:r w:rsidRPr="00B200F0">
        <w:rPr>
          <w:rFonts w:ascii="Times New Roman" w:hAnsi="Times New Roman" w:cs="Times New Roman"/>
          <w:sz w:val="36"/>
          <w:szCs w:val="36"/>
          <w:lang w:val="uk-UA"/>
        </w:rPr>
        <w:t xml:space="preserve"> як: </w:t>
      </w:r>
    </w:p>
    <w:p w:rsidR="006E4723" w:rsidRPr="00B200F0" w:rsidRDefault="006E4723" w:rsidP="000207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B200F0" w:rsidRDefault="000207B8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18"/>
          <w:szCs w:val="18"/>
          <w:lang w:val="uk-UA"/>
        </w:rPr>
      </w:pPr>
      <w:r w:rsidRPr="00C22E70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 xml:space="preserve">Діагностичні </w:t>
      </w:r>
      <w:r w:rsidR="00F36CA0" w:rsidRPr="00C22E70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дослідження патологічного матеріалу</w:t>
      </w:r>
      <w:r w:rsidRPr="00C22E70">
        <w:rPr>
          <w:rFonts w:ascii="Times New Roman" w:hAnsi="Times New Roman" w:cs="Times New Roman"/>
          <w:b/>
          <w:i/>
          <w:color w:val="00B0F0"/>
          <w:sz w:val="28"/>
          <w:szCs w:val="28"/>
          <w:lang w:val="uk-UA"/>
        </w:rPr>
        <w:t>:</w:t>
      </w:r>
      <w:r w:rsidR="00B200F0" w:rsidRPr="00B200F0">
        <w:rPr>
          <w:rFonts w:ascii="Times New Roman CYR" w:hAnsi="Times New Roman CYR"/>
          <w:sz w:val="18"/>
          <w:szCs w:val="18"/>
          <w:lang w:val="uk-UA"/>
        </w:rPr>
        <w:t xml:space="preserve"> </w:t>
      </w:r>
    </w:p>
    <w:p w:rsidR="00B200F0" w:rsidRDefault="00B200F0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личинок трихінел </w:t>
      </w:r>
    </w:p>
    <w:p w:rsidR="000207B8" w:rsidRDefault="00B200F0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личинок саркоцист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личинок цистицерків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личинок спарганумів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личинок </w:t>
      </w:r>
      <w:r>
        <w:rPr>
          <w:rFonts w:ascii="Times New Roman CYR" w:hAnsi="Times New Roman CYR"/>
          <w:sz w:val="24"/>
          <w:szCs w:val="24"/>
          <w:lang w:val="uk-UA"/>
        </w:rPr>
        <w:t>дирофіляріоз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крові собак та котів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браульозу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бджіл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вароа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бджіл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0B71A3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 акарапозу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бджіл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ноземозу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бджіл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аскарозу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у собак та котів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параскарозу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коней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амідостомозу птиці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демодекозу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тварин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отодектозу</w:t>
      </w:r>
      <w:r w:rsidR="00535791">
        <w:rPr>
          <w:rFonts w:ascii="Times New Roman CYR" w:hAnsi="Times New Roman CYR"/>
          <w:sz w:val="24"/>
          <w:szCs w:val="24"/>
          <w:lang w:val="uk-UA"/>
        </w:rPr>
        <w:t>( вушної корости) у тварин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кнемідокоптозу птиці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хоріоптозу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оней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саркоптозу </w:t>
      </w:r>
      <w:r w:rsidR="00535791">
        <w:rPr>
          <w:rFonts w:ascii="Times New Roman CYR" w:hAnsi="Times New Roman CYR"/>
          <w:sz w:val="24"/>
          <w:szCs w:val="24"/>
          <w:lang w:val="uk-UA"/>
        </w:rPr>
        <w:t>тварин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псороптозу</w:t>
      </w:r>
      <w:r w:rsidR="00535791" w:rsidRPr="0053579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535791">
        <w:rPr>
          <w:rFonts w:ascii="Times New Roman CYR" w:hAnsi="Times New Roman CYR"/>
          <w:sz w:val="24"/>
          <w:szCs w:val="24"/>
          <w:lang w:val="uk-UA"/>
        </w:rPr>
        <w:t>тварин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макрокантерінхозу свиней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</w:t>
      </w:r>
      <w:r>
        <w:rPr>
          <w:rFonts w:ascii="Times New Roman CYR" w:hAnsi="Times New Roman CYR"/>
          <w:sz w:val="24"/>
          <w:szCs w:val="24"/>
          <w:lang w:val="uk-UA"/>
        </w:rPr>
        <w:t>нематодірозу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трихурозу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монієзіозу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метастронгільозу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ехінурозу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ехіностоматидозів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ехінококозу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фасціольозу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токсокарозу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собак і котів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яйцевих коконів дипілідіозу</w:t>
      </w:r>
      <w:r w:rsidR="00535791">
        <w:rPr>
          <w:rFonts w:ascii="Times New Roman CYR" w:hAnsi="Times New Roman CYR"/>
          <w:sz w:val="24"/>
          <w:szCs w:val="24"/>
          <w:lang w:val="uk-UA"/>
        </w:rPr>
        <w:t xml:space="preserve"> мясоїдних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ооцист цистоізоспорозу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анкілостомозу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трихомонозу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гастрофільозу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яєць капіляріозу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бабезіозів</w:t>
      </w:r>
    </w:p>
    <w:p w:rsidR="000B71A3" w:rsidRDefault="000B71A3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анаплазмозу</w:t>
      </w:r>
    </w:p>
    <w:p w:rsidR="00DE7806" w:rsidRDefault="000B71A3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</w:t>
      </w:r>
      <w:r w:rsidRPr="000B71A3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балантидіазу</w:t>
      </w:r>
      <w:r w:rsidR="00DE7806">
        <w:rPr>
          <w:rFonts w:ascii="Times New Roman CYR" w:hAnsi="Times New Roman CYR"/>
          <w:sz w:val="24"/>
          <w:szCs w:val="24"/>
          <w:lang w:val="uk-UA"/>
        </w:rPr>
        <w:t xml:space="preserve">. </w:t>
      </w:r>
    </w:p>
    <w:p w:rsidR="00DE7806" w:rsidRDefault="00DE7806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="000B71A3"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збудника </w:t>
      </w:r>
      <w:r>
        <w:rPr>
          <w:rFonts w:ascii="Times New Roman CYR" w:hAnsi="Times New Roman CYR"/>
          <w:sz w:val="24"/>
          <w:szCs w:val="24"/>
          <w:lang w:val="uk-UA"/>
        </w:rPr>
        <w:t>токсоплазмозу.</w:t>
      </w:r>
    </w:p>
    <w:p w:rsidR="000B71A3" w:rsidRDefault="000B71A3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яєць збудника дикроцеліозу</w:t>
      </w:r>
    </w:p>
    <w:p w:rsidR="00535791" w:rsidRDefault="00535791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яєць збудника опісторхозу</w:t>
      </w:r>
    </w:p>
    <w:p w:rsidR="00535791" w:rsidRPr="00B200F0" w:rsidRDefault="00535791" w:rsidP="006E47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lastRenderedPageBreak/>
        <w:t>Виявлення видової належності личинок саркоцист</w:t>
      </w:r>
    </w:p>
    <w:p w:rsidR="000B71A3" w:rsidRPr="00B200F0" w:rsidRDefault="000B71A3" w:rsidP="006E4723">
      <w:pPr>
        <w:framePr w:hSpace="180" w:wrap="around" w:vAnchor="page" w:hAnchor="margin" w:xAlign="right" w:y="181"/>
        <w:spacing w:line="240" w:lineRule="auto"/>
        <w:contextualSpacing/>
        <w:suppressOverlap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35791" w:rsidRPr="00B200F0" w:rsidRDefault="00535791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</w:t>
      </w:r>
      <w:r w:rsidRPr="00535791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B200F0">
        <w:rPr>
          <w:rFonts w:ascii="Times New Roman CYR" w:hAnsi="Times New Roman CYR"/>
          <w:sz w:val="24"/>
          <w:szCs w:val="24"/>
          <w:lang w:val="uk-UA"/>
        </w:rPr>
        <w:t>криптоспоридіозу</w:t>
      </w:r>
    </w:p>
    <w:p w:rsidR="000B71A3" w:rsidRDefault="00535791" w:rsidP="006E47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іксодових кліщів</w:t>
      </w:r>
    </w:p>
    <w:p w:rsidR="000B71A3" w:rsidRDefault="00535791" w:rsidP="006E4723">
      <w:pPr>
        <w:spacing w:after="0" w:line="240" w:lineRule="auto"/>
        <w:contextualSpacing/>
        <w:jc w:val="both"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сифункулятозу</w:t>
      </w:r>
    </w:p>
    <w:p w:rsidR="00535791" w:rsidRDefault="00535791" w:rsidP="006E472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>Виявлення видової належності збудника малофагозів</w:t>
      </w:r>
    </w:p>
    <w:p w:rsidR="00DE7806" w:rsidRDefault="00DE7806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фасціольозу </w:t>
      </w:r>
    </w:p>
    <w:p w:rsidR="00DE7806" w:rsidRDefault="00DE7806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парамфістоматидозу </w:t>
      </w:r>
    </w:p>
    <w:p w:rsidR="00DE7806" w:rsidRDefault="00DE7806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фасціольозу </w:t>
      </w:r>
    </w:p>
    <w:p w:rsidR="00DE7806" w:rsidRDefault="00DE7806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 w:rsidRPr="00B200F0">
        <w:rPr>
          <w:rFonts w:ascii="Times New Roman CYR" w:hAnsi="Times New Roman CYR"/>
          <w:sz w:val="24"/>
          <w:szCs w:val="24"/>
          <w:lang w:val="uk-UA"/>
        </w:rPr>
        <w:t xml:space="preserve">Виявлення видової належності парамфістоматидозу </w:t>
      </w:r>
      <w:r w:rsidR="00573FDC">
        <w:rPr>
          <w:rFonts w:ascii="Times New Roman CYR" w:hAnsi="Times New Roman CYR"/>
          <w:sz w:val="24"/>
          <w:szCs w:val="24"/>
          <w:lang w:val="uk-UA"/>
        </w:rPr>
        <w:br/>
        <w:t>Проводить дослідження води з басейнів на виявлення збудників гельмінтів та найпростіших,</w:t>
      </w:r>
    </w:p>
    <w:p w:rsidR="00573FDC" w:rsidRDefault="00573FDC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Проводить дослідження садовини та огородини на виявлення збудників гельмінтів та найпростіших</w:t>
      </w:r>
    </w:p>
    <w:p w:rsidR="00573FDC" w:rsidRDefault="00573FDC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Проводить дослідження грунту на виявлення збудників гельмінтів та найпростіших</w:t>
      </w:r>
    </w:p>
    <w:p w:rsidR="006E4723" w:rsidRDefault="006E4723" w:rsidP="006E4723">
      <w:pPr>
        <w:spacing w:line="240" w:lineRule="auto"/>
        <w:contextualSpacing/>
        <w:rPr>
          <w:rFonts w:ascii="Times New Roman CYR" w:hAnsi="Times New Roman CYR"/>
          <w:sz w:val="24"/>
          <w:szCs w:val="24"/>
          <w:lang w:val="uk-UA"/>
        </w:rPr>
      </w:pPr>
    </w:p>
    <w:p w:rsidR="0025357D" w:rsidRDefault="00DE7806" w:rsidP="0063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небезпечні хвороби, спільні для людей і тварин,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подаються публікації в пресі. інтерв’ю на телебаченню. На даний період при участі працівників відділу ліквідовано понад 11 трихінельозних осередків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 xml:space="preserve"> по Миколаївській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 Та багато хвороб ще мають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 xml:space="preserve"> велике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розповсюдження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>. Останнім часом спалахи дирофіляріоз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 xml:space="preserve">, ехінококозу,трихінельозу 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>у дикій фауні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 xml:space="preserve">, токсокарозу зобов’язують ветеринарну службу області приділяти особливу увагу </w:t>
      </w:r>
      <w:r w:rsidR="00B9033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B012B0">
        <w:rPr>
          <w:rFonts w:ascii="Times New Roman" w:hAnsi="Times New Roman" w:cs="Times New Roman"/>
          <w:sz w:val="28"/>
          <w:szCs w:val="28"/>
          <w:lang w:val="uk-UA"/>
        </w:rPr>
        <w:t>діагностики цих захворювань.</w:t>
      </w:r>
    </w:p>
    <w:p w:rsidR="006E4723" w:rsidRDefault="006E4723" w:rsidP="0063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334" w:rsidRDefault="00B012B0" w:rsidP="006E47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color w:val="000000"/>
          <w:spacing w:val="-13"/>
          <w:sz w:val="36"/>
          <w:szCs w:val="36"/>
          <w:lang w:val="uk-UA"/>
        </w:rPr>
      </w:pPr>
      <w:r w:rsidRPr="00DF2799">
        <w:rPr>
          <w:rFonts w:ascii="Times New Roman" w:hAnsi="Times New Roman" w:cs="Times New Roman"/>
          <w:b/>
          <w:iCs/>
          <w:color w:val="000000"/>
          <w:spacing w:val="-13"/>
          <w:sz w:val="36"/>
          <w:szCs w:val="36"/>
          <w:lang w:val="uk-UA"/>
        </w:rPr>
        <w:t>Структура та співробітники відділу.</w:t>
      </w:r>
    </w:p>
    <w:p w:rsidR="006328C6" w:rsidRDefault="006328C6" w:rsidP="00B903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pacing w:val="-13"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відділом паразитології - лікар ветеринарної медицини –Стець Ольга Олексіївна;</w:t>
      </w: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pacing w:val="-13"/>
          <w:sz w:val="36"/>
          <w:szCs w:val="36"/>
          <w:lang w:val="uk-UA"/>
        </w:rPr>
      </w:pPr>
    </w:p>
    <w:p w:rsidR="006328C6" w:rsidRDefault="00B012B0" w:rsidP="006E47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noProof/>
          <w:color w:val="000000"/>
          <w:spacing w:val="-13"/>
          <w:sz w:val="36"/>
          <w:szCs w:val="36"/>
          <w:lang w:val="uk-UA" w:eastAsia="uk-UA"/>
        </w:rPr>
        <w:drawing>
          <wp:inline distT="0" distB="0" distL="0" distR="0">
            <wp:extent cx="4823562" cy="3943350"/>
            <wp:effectExtent l="0" t="0" r="0" b="0"/>
            <wp:docPr id="4" name="Рисунок 4" descr="C:\Users\555\Desktop\SAM_0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esktop\SAM_02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62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FDC" w:rsidRDefault="00573FDC" w:rsidP="0057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3FDC" w:rsidRDefault="00573FDC" w:rsidP="0057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C6" w:rsidRDefault="006328C6" w:rsidP="006E4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Лаборант 1 категорії відділу -Вороновська Світлана Володимирівна;</w:t>
      </w: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28C6" w:rsidRDefault="006328C6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2B0" w:rsidRDefault="006328C6" w:rsidP="006E47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486275" cy="3609975"/>
            <wp:effectExtent l="0" t="0" r="9525" b="9525"/>
            <wp:docPr id="5" name="Рисунок 5" descr="C:\Users\555\Desktop\SAM_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esktop\SAM_02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334" w:rsidRDefault="00B90334" w:rsidP="0063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2B0" w:rsidRDefault="00B012B0" w:rsidP="006E47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етеринарний санітар</w:t>
      </w:r>
      <w:r w:rsidR="006328C6"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6E4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8C6">
        <w:rPr>
          <w:rFonts w:ascii="Times New Roman" w:hAnsi="Times New Roman" w:cs="Times New Roman"/>
          <w:sz w:val="28"/>
          <w:szCs w:val="28"/>
          <w:lang w:val="uk-UA"/>
        </w:rPr>
        <w:t>- Пугач Лариса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1E2F" w:rsidRDefault="006328C6" w:rsidP="006E472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478177" cy="3971925"/>
            <wp:effectExtent l="0" t="0" r="8255" b="0"/>
            <wp:docPr id="9" name="Рисунок 9" descr="C:\Users\555\Desktop\SAM_0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esktop\SAM_02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177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E2F" w:rsidRDefault="00251E2F" w:rsidP="006E4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ABD" w:rsidRDefault="00962ABD" w:rsidP="00573F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ABD" w:rsidRDefault="00962ABD" w:rsidP="006327FB">
      <w:pPr>
        <w:shd w:val="clear" w:color="auto" w:fill="FFFFFF"/>
        <w:spacing w:after="0" w:line="240" w:lineRule="auto"/>
        <w:ind w:right="-2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ABD" w:rsidRDefault="00962ABD" w:rsidP="006327FB">
      <w:pPr>
        <w:shd w:val="clear" w:color="auto" w:fill="FFFFFF"/>
        <w:spacing w:after="0" w:line="240" w:lineRule="auto"/>
        <w:ind w:right="-2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1141" w:rsidRDefault="00C31141" w:rsidP="006327FB">
      <w:pPr>
        <w:shd w:val="clear" w:color="auto" w:fill="FFFFFF"/>
        <w:spacing w:after="0" w:line="240" w:lineRule="auto"/>
        <w:ind w:right="-2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0752" w:rsidRPr="00DF2799" w:rsidRDefault="00030752" w:rsidP="00ED0F3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F2799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Основні завдання.</w:t>
      </w:r>
    </w:p>
    <w:p w:rsidR="009541B5" w:rsidRDefault="00030752" w:rsidP="00D65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7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 завданнями фахівців відділу </w:t>
      </w:r>
      <w:r w:rsidR="00573FDC">
        <w:rPr>
          <w:rFonts w:ascii="Times New Roman" w:hAnsi="Times New Roman" w:cs="Times New Roman"/>
          <w:sz w:val="28"/>
          <w:szCs w:val="28"/>
          <w:lang w:val="uk-UA"/>
        </w:rPr>
        <w:t>паразитології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 є: проведення лабораторно-діагностичних випр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бувань поступаючого матеріалу згідно методик ДСТУ, ГОСТ, методичних вказівок;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з’ясування 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 причин виникнення захворювань </w:t>
      </w:r>
      <w:r w:rsidR="009541B5">
        <w:rPr>
          <w:rFonts w:ascii="Times New Roman" w:hAnsi="Times New Roman" w:cs="Times New Roman"/>
          <w:sz w:val="28"/>
          <w:szCs w:val="28"/>
          <w:lang w:val="uk-UA"/>
        </w:rPr>
        <w:t>тварин, птиці , бджіл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 та факторів, які спричинили їх виникнення; </w:t>
      </w:r>
    </w:p>
    <w:p w:rsidR="009541B5" w:rsidRDefault="009541B5" w:rsidP="00D65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консультацій по боротьбі з паразитарними захворюваннями.</w:t>
      </w:r>
    </w:p>
    <w:p w:rsidR="00030752" w:rsidRPr="004D7B29" w:rsidRDefault="00030752" w:rsidP="00D650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1B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4D7B29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контролю та керівництво за роботою районних установ ветеринарної медицини, а також відомчих лабораторій, незалежно від форм власності з </w:t>
      </w:r>
      <w:r w:rsidR="009541B5">
        <w:rPr>
          <w:rFonts w:ascii="Times New Roman" w:hAnsi="Times New Roman" w:cs="Times New Roman"/>
          <w:sz w:val="28"/>
          <w:szCs w:val="28"/>
          <w:lang w:val="uk-UA"/>
        </w:rPr>
        <w:t>паразитології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0752" w:rsidRDefault="00030752" w:rsidP="00D65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327FB">
        <w:rPr>
          <w:rFonts w:ascii="Times New Roman" w:hAnsi="Times New Roman" w:cs="Times New Roman"/>
          <w:sz w:val="28"/>
          <w:szCs w:val="28"/>
          <w:lang w:val="uk-UA"/>
        </w:rPr>
        <w:t xml:space="preserve">ідділ </w:t>
      </w:r>
      <w:r w:rsidR="009541B5">
        <w:rPr>
          <w:rFonts w:ascii="Times New Roman" w:hAnsi="Times New Roman" w:cs="Times New Roman"/>
          <w:sz w:val="28"/>
          <w:szCs w:val="28"/>
          <w:lang w:val="uk-UA"/>
        </w:rPr>
        <w:t>паразитології</w:t>
      </w:r>
      <w:r w:rsidRPr="006327FB">
        <w:rPr>
          <w:rFonts w:ascii="Times New Roman" w:hAnsi="Times New Roman" w:cs="Times New Roman"/>
          <w:sz w:val="28"/>
          <w:szCs w:val="28"/>
          <w:lang w:val="uk-UA"/>
        </w:rPr>
        <w:t xml:space="preserve"> приймає участь в міжлабораторних порівняннях зразків надісланих із ДНДІЛДВСЕ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327F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D0F32" w:rsidRDefault="009541B5" w:rsidP="00D65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Працівники відділу професійно підготовлені, мають вищу та середню спеціальну освіту, пройшли відповідну підготовку на курсах післядипломного навчання та володіють сучасними методами досліджень.</w:t>
      </w:r>
    </w:p>
    <w:sectPr w:rsidR="00ED0F32" w:rsidSect="00251E2F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l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B06"/>
    <w:multiLevelType w:val="hybridMultilevel"/>
    <w:tmpl w:val="B0C035A8"/>
    <w:lvl w:ilvl="0" w:tplc="EAD21D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C27139"/>
    <w:multiLevelType w:val="hybridMultilevel"/>
    <w:tmpl w:val="734CB686"/>
    <w:lvl w:ilvl="0" w:tplc="C9A4199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0F"/>
    <w:rsid w:val="00004568"/>
    <w:rsid w:val="000207B8"/>
    <w:rsid w:val="00030752"/>
    <w:rsid w:val="00046C2E"/>
    <w:rsid w:val="00070E98"/>
    <w:rsid w:val="000B68E7"/>
    <w:rsid w:val="000B71A3"/>
    <w:rsid w:val="000D461F"/>
    <w:rsid w:val="000D5AEF"/>
    <w:rsid w:val="000E1187"/>
    <w:rsid w:val="001401D1"/>
    <w:rsid w:val="001440FA"/>
    <w:rsid w:val="001904A0"/>
    <w:rsid w:val="001A451A"/>
    <w:rsid w:val="001C176D"/>
    <w:rsid w:val="001D6D52"/>
    <w:rsid w:val="001F2223"/>
    <w:rsid w:val="002049B5"/>
    <w:rsid w:val="00220FB0"/>
    <w:rsid w:val="00224393"/>
    <w:rsid w:val="00251E2F"/>
    <w:rsid w:val="0025357D"/>
    <w:rsid w:val="00270C3C"/>
    <w:rsid w:val="002A09D8"/>
    <w:rsid w:val="002A1400"/>
    <w:rsid w:val="002A320D"/>
    <w:rsid w:val="002C286D"/>
    <w:rsid w:val="002C4EDA"/>
    <w:rsid w:val="002F511D"/>
    <w:rsid w:val="0030111B"/>
    <w:rsid w:val="00307131"/>
    <w:rsid w:val="003145CF"/>
    <w:rsid w:val="003165A0"/>
    <w:rsid w:val="003C3861"/>
    <w:rsid w:val="003F0996"/>
    <w:rsid w:val="004127E9"/>
    <w:rsid w:val="00415C5A"/>
    <w:rsid w:val="00420564"/>
    <w:rsid w:val="004272CE"/>
    <w:rsid w:val="00441AB7"/>
    <w:rsid w:val="00490642"/>
    <w:rsid w:val="004D7B29"/>
    <w:rsid w:val="004F23C3"/>
    <w:rsid w:val="004F3C67"/>
    <w:rsid w:val="005254DB"/>
    <w:rsid w:val="00535791"/>
    <w:rsid w:val="00550636"/>
    <w:rsid w:val="00557E91"/>
    <w:rsid w:val="00573FDC"/>
    <w:rsid w:val="00574CEF"/>
    <w:rsid w:val="00584BFB"/>
    <w:rsid w:val="005E4AD7"/>
    <w:rsid w:val="006010BF"/>
    <w:rsid w:val="006327FB"/>
    <w:rsid w:val="006328C6"/>
    <w:rsid w:val="00642E1D"/>
    <w:rsid w:val="00685FF8"/>
    <w:rsid w:val="006A24EE"/>
    <w:rsid w:val="006B1462"/>
    <w:rsid w:val="006C2FFB"/>
    <w:rsid w:val="006D04B7"/>
    <w:rsid w:val="006D4964"/>
    <w:rsid w:val="006E4723"/>
    <w:rsid w:val="007125E5"/>
    <w:rsid w:val="0073704D"/>
    <w:rsid w:val="00782902"/>
    <w:rsid w:val="007A5FB8"/>
    <w:rsid w:val="007C3806"/>
    <w:rsid w:val="007C4D59"/>
    <w:rsid w:val="007C77B1"/>
    <w:rsid w:val="007F17A5"/>
    <w:rsid w:val="008308BA"/>
    <w:rsid w:val="00851D67"/>
    <w:rsid w:val="00860A3E"/>
    <w:rsid w:val="00867B35"/>
    <w:rsid w:val="00881671"/>
    <w:rsid w:val="008A15FC"/>
    <w:rsid w:val="008C0408"/>
    <w:rsid w:val="00913E06"/>
    <w:rsid w:val="00924001"/>
    <w:rsid w:val="00931959"/>
    <w:rsid w:val="009468EE"/>
    <w:rsid w:val="00951098"/>
    <w:rsid w:val="009541B5"/>
    <w:rsid w:val="00962ABD"/>
    <w:rsid w:val="00977014"/>
    <w:rsid w:val="009A35C0"/>
    <w:rsid w:val="009B74BC"/>
    <w:rsid w:val="009E2042"/>
    <w:rsid w:val="009F7266"/>
    <w:rsid w:val="00A05631"/>
    <w:rsid w:val="00A16079"/>
    <w:rsid w:val="00A6435F"/>
    <w:rsid w:val="00A76675"/>
    <w:rsid w:val="00A77DFF"/>
    <w:rsid w:val="00A9416A"/>
    <w:rsid w:val="00AB358D"/>
    <w:rsid w:val="00AB5500"/>
    <w:rsid w:val="00AC4E84"/>
    <w:rsid w:val="00B012B0"/>
    <w:rsid w:val="00B10063"/>
    <w:rsid w:val="00B165CE"/>
    <w:rsid w:val="00B200F0"/>
    <w:rsid w:val="00B22ABA"/>
    <w:rsid w:val="00B36F8B"/>
    <w:rsid w:val="00B4583D"/>
    <w:rsid w:val="00B545F7"/>
    <w:rsid w:val="00B73562"/>
    <w:rsid w:val="00B878EB"/>
    <w:rsid w:val="00B90334"/>
    <w:rsid w:val="00BC546D"/>
    <w:rsid w:val="00BC7E5C"/>
    <w:rsid w:val="00BE33C9"/>
    <w:rsid w:val="00C07D4B"/>
    <w:rsid w:val="00C22E70"/>
    <w:rsid w:val="00C31141"/>
    <w:rsid w:val="00C36DCE"/>
    <w:rsid w:val="00C51053"/>
    <w:rsid w:val="00C6410F"/>
    <w:rsid w:val="00CE2EB7"/>
    <w:rsid w:val="00CF75E2"/>
    <w:rsid w:val="00D27D3E"/>
    <w:rsid w:val="00D4237B"/>
    <w:rsid w:val="00D60CBE"/>
    <w:rsid w:val="00D650A6"/>
    <w:rsid w:val="00D707EB"/>
    <w:rsid w:val="00D73F48"/>
    <w:rsid w:val="00D759B0"/>
    <w:rsid w:val="00DC3D72"/>
    <w:rsid w:val="00DE7806"/>
    <w:rsid w:val="00DF2799"/>
    <w:rsid w:val="00E52F21"/>
    <w:rsid w:val="00E57615"/>
    <w:rsid w:val="00E64286"/>
    <w:rsid w:val="00EA678E"/>
    <w:rsid w:val="00ED0F32"/>
    <w:rsid w:val="00F02646"/>
    <w:rsid w:val="00F06011"/>
    <w:rsid w:val="00F36CA0"/>
    <w:rsid w:val="00F539E0"/>
    <w:rsid w:val="00F668B0"/>
    <w:rsid w:val="00F9764A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8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EDA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C4EDA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04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C2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327FB"/>
    <w:pPr>
      <w:spacing w:after="0" w:line="240" w:lineRule="auto"/>
    </w:pPr>
    <w:rPr>
      <w:rFonts w:ascii="Consolas" w:hAnsi="Consolas" w:cs="Consolas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6327FB"/>
    <w:rPr>
      <w:rFonts w:ascii="Consolas" w:hAnsi="Consolas" w:cs="Consolas"/>
      <w:sz w:val="20"/>
      <w:szCs w:val="20"/>
      <w:lang w:val="uk-UA"/>
    </w:rPr>
  </w:style>
  <w:style w:type="character" w:customStyle="1" w:styleId="hps">
    <w:name w:val="hps"/>
    <w:rsid w:val="00030752"/>
    <w:rPr>
      <w:rFonts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0307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0307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8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EDA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C4EDA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04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C2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327FB"/>
    <w:pPr>
      <w:spacing w:after="0" w:line="240" w:lineRule="auto"/>
    </w:pPr>
    <w:rPr>
      <w:rFonts w:ascii="Consolas" w:hAnsi="Consolas" w:cs="Consolas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6327FB"/>
    <w:rPr>
      <w:rFonts w:ascii="Consolas" w:hAnsi="Consolas" w:cs="Consolas"/>
      <w:sz w:val="20"/>
      <w:szCs w:val="20"/>
      <w:lang w:val="uk-UA"/>
    </w:rPr>
  </w:style>
  <w:style w:type="character" w:customStyle="1" w:styleId="hps">
    <w:name w:val="hps"/>
    <w:rsid w:val="00030752"/>
    <w:rPr>
      <w:rFonts w:cs="Times New Roman"/>
    </w:rPr>
  </w:style>
  <w:style w:type="paragraph" w:customStyle="1" w:styleId="-11">
    <w:name w:val="Цветной список - Акцент 11"/>
    <w:basedOn w:val="a"/>
    <w:uiPriority w:val="34"/>
    <w:qFormat/>
    <w:rsid w:val="000307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0307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429E-CB29-4F58-8732-D98C8BF2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3016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Ложкіна</dc:creator>
  <cp:lastModifiedBy>555</cp:lastModifiedBy>
  <cp:revision>6</cp:revision>
  <cp:lastPrinted>2017-08-01T11:26:00Z</cp:lastPrinted>
  <dcterms:created xsi:type="dcterms:W3CDTF">2017-08-03T06:54:00Z</dcterms:created>
  <dcterms:modified xsi:type="dcterms:W3CDTF">2017-08-03T09:25:00Z</dcterms:modified>
</cp:coreProperties>
</file>